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195" w14:textId="70598FD8" w:rsidR="00084295" w:rsidRDefault="00084295">
      <w:pPr>
        <w:rPr>
          <w:rStyle w:val="fontstyle01"/>
        </w:rPr>
      </w:pPr>
    </w:p>
    <w:p w14:paraId="6FA1AEDB" w14:textId="18D0356F" w:rsidR="002120A0" w:rsidRPr="00DD2250" w:rsidRDefault="002120A0">
      <w:pPr>
        <w:rPr>
          <w:rFonts w:ascii="Roboto-Bold" w:hAnsi="Roboto-Bold"/>
          <w:b/>
          <w:bCs/>
          <w:color w:val="0E6E0E"/>
          <w:sz w:val="28"/>
          <w:szCs w:val="28"/>
        </w:rPr>
      </w:pPr>
      <w:r>
        <w:rPr>
          <w:rFonts w:ascii="Roboto-Bold" w:hAnsi="Roboto-Bold"/>
          <w:b/>
          <w:bCs/>
          <w:noProof/>
          <w:color w:val="0E6E0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BB3B03" wp14:editId="63F892B5">
            <wp:simplePos x="0" y="0"/>
            <wp:positionH relativeFrom="column">
              <wp:posOffset>0</wp:posOffset>
            </wp:positionH>
            <wp:positionV relativeFrom="paragraph">
              <wp:posOffset>379095</wp:posOffset>
            </wp:positionV>
            <wp:extent cx="1790700" cy="796251"/>
            <wp:effectExtent l="0" t="0" r="0" b="4445"/>
            <wp:wrapNone/>
            <wp:docPr id="2" name="Picture 2" descr="Logo: National Center for College Students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National Center for College Students with Disabiliti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6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-Bold" w:hAnsi="Roboto-Bold"/>
          <w:b/>
          <w:bCs/>
          <w:noProof/>
          <w:color w:val="0E6E0E"/>
          <w:sz w:val="28"/>
          <w:szCs w:val="28"/>
        </w:rPr>
        <w:t xml:space="preserve">                                                  </w:t>
      </w:r>
      <w:r w:rsidR="00084295">
        <w:rPr>
          <w:rFonts w:ascii="Roboto-Bold" w:hAnsi="Roboto-Bold"/>
          <w:b/>
          <w:bCs/>
          <w:noProof/>
          <w:color w:val="0E6E0E"/>
          <w:sz w:val="28"/>
          <w:szCs w:val="28"/>
        </w:rPr>
        <w:drawing>
          <wp:inline distT="0" distB="0" distL="0" distR="0" wp14:anchorId="2424687B" wp14:editId="14B193CD">
            <wp:extent cx="1362075" cy="1362075"/>
            <wp:effectExtent l="0" t="0" r="9525" b="9525"/>
            <wp:docPr id="1" name="Picture 1" descr="Logo: CEDAR Campus Disability Resource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CEDAR Campus Disability Resource Databa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FE61" w14:textId="07735C1E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Infographic</w:t>
      </w:r>
      <w:r>
        <w:rPr>
          <w:rFonts w:cstheme="minorHAnsi"/>
          <w:sz w:val="28"/>
          <w:szCs w:val="28"/>
        </w:rPr>
        <w:t xml:space="preserve">: </w:t>
      </w:r>
      <w:r w:rsidRPr="00084295">
        <w:rPr>
          <w:rFonts w:cstheme="minorHAnsi"/>
          <w:sz w:val="28"/>
          <w:szCs w:val="28"/>
        </w:rPr>
        <w:t xml:space="preserve"> Counseling and Psychological Services</w:t>
      </w:r>
    </w:p>
    <w:p w14:paraId="36F0326D" w14:textId="0B18DE12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Close to 600 campus representatives provided information about the counseling</w:t>
      </w:r>
      <w:r w:rsidRPr="00084295">
        <w:rPr>
          <w:rFonts w:cstheme="minorHAnsi"/>
          <w:sz w:val="28"/>
          <w:szCs w:val="28"/>
        </w:rPr>
        <w:br/>
        <w:t>and psychological services provided at their institutions.</w:t>
      </w:r>
      <w:r w:rsidRPr="00084295">
        <w:rPr>
          <w:rFonts w:cstheme="minorHAnsi"/>
          <w:sz w:val="28"/>
          <w:szCs w:val="28"/>
        </w:rPr>
        <w:br/>
        <w:t>This infographic illustrates the top six services provided to students.</w:t>
      </w:r>
      <w:r w:rsidRPr="00084295">
        <w:rPr>
          <w:rFonts w:cstheme="minorHAnsi"/>
          <w:sz w:val="28"/>
          <w:szCs w:val="28"/>
        </w:rPr>
        <w:br/>
        <w:t>Learn more at CeDaRdatabase.org</w:t>
      </w:r>
    </w:p>
    <w:p w14:paraId="540C1515" w14:textId="2D62B5EC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82% Short-Term Counseling (e.g. 10 session limit)</w:t>
      </w:r>
    </w:p>
    <w:p w14:paraId="3EE9F3C7" w14:textId="19D33616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72% 24/7 Mental health hotline or Crisis Line</w:t>
      </w:r>
    </w:p>
    <w:p w14:paraId="56CEA03D" w14:textId="620114ED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47% Support Groups</w:t>
      </w:r>
    </w:p>
    <w:p w14:paraId="5E8CAB3A" w14:textId="5F2D6B67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45% Campus-Based Chaplains</w:t>
      </w:r>
    </w:p>
    <w:p w14:paraId="6C7E2868" w14:textId="5B5DAADC" w:rsidR="00084295" w:rsidRPr="00084295" w:rsidRDefault="00084295">
      <w:pPr>
        <w:rPr>
          <w:rFonts w:cstheme="minorHAnsi"/>
          <w:sz w:val="28"/>
          <w:szCs w:val="28"/>
        </w:rPr>
      </w:pPr>
      <w:r w:rsidRPr="00084295">
        <w:rPr>
          <w:rFonts w:cstheme="minorHAnsi"/>
          <w:sz w:val="28"/>
          <w:szCs w:val="28"/>
        </w:rPr>
        <w:t>36% Long-Term Counseling</w:t>
      </w:r>
    </w:p>
    <w:p w14:paraId="236037EC" w14:textId="04F8ADB2" w:rsidR="00084295" w:rsidRPr="00084295" w:rsidRDefault="00084295">
      <w:pPr>
        <w:rPr>
          <w:rStyle w:val="fontstyle01"/>
          <w:rFonts w:asciiTheme="minorHAnsi" w:hAnsiTheme="minorHAnsi" w:cstheme="minorHAnsi"/>
          <w:color w:val="auto"/>
        </w:rPr>
      </w:pPr>
      <w:r w:rsidRPr="00084295">
        <w:rPr>
          <w:rFonts w:cstheme="minorHAnsi"/>
          <w:sz w:val="28"/>
          <w:szCs w:val="28"/>
        </w:rPr>
        <w:t>33% Online Mental Health Services, Trainings, or Supports</w:t>
      </w:r>
    </w:p>
    <w:p w14:paraId="0F77EC42" w14:textId="06AF6331" w:rsidR="00084295" w:rsidRDefault="00084295">
      <w:pPr>
        <w:rPr>
          <w:rStyle w:val="fontstyle01"/>
        </w:rPr>
      </w:pPr>
    </w:p>
    <w:p w14:paraId="33E1E42B" w14:textId="4B4C82CE" w:rsidR="00215B5F" w:rsidRPr="00084295" w:rsidRDefault="00084295">
      <w:pPr>
        <w:rPr>
          <w:rFonts w:cstheme="minorHAnsi"/>
          <w:sz w:val="24"/>
          <w:szCs w:val="24"/>
        </w:rPr>
      </w:pP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The National Center for College Students with Disabilities (NCCSD) is funded through a four-year grant from the Office of Postsecondary Education, U.S.</w:t>
      </w:r>
      <w:r w:rsidR="00DD225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Department of Education (P116D150005), administered through the Office of Postsecondary Education. This project was developed in partnership with</w:t>
      </w:r>
      <w:r w:rsidR="00DD225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the Institute for Community Inclusion (ICI) at the University of Massachusetts Boston. Opinions expressed on this page or associated content may not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be the opinions of NCCSD, AHEAD or the U.S. Department of Education. Questions, concerns or requests about accessibility should be sent to</w:t>
      </w:r>
      <w:r w:rsidR="00DD225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084295">
        <w:rPr>
          <w:rStyle w:val="fontstyle01"/>
          <w:rFonts w:asciiTheme="minorHAnsi" w:hAnsiTheme="minorHAnsi" w:cstheme="minorHAnsi"/>
          <w:sz w:val="24"/>
          <w:szCs w:val="24"/>
        </w:rPr>
        <w:t>nccsd@ahead.org</w:t>
      </w:r>
    </w:p>
    <w:sectPr w:rsidR="00215B5F" w:rsidRPr="0008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Condensed-Regular">
    <w:altName w:val="Arial"/>
    <w:panose1 w:val="00000000000000000000"/>
    <w:charset w:val="00"/>
    <w:family w:val="roman"/>
    <w:notTrueType/>
    <w:pitch w:val="default"/>
  </w:font>
  <w:font w:name="Roboto-Bold">
    <w:altName w:val="Robot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95"/>
    <w:rsid w:val="000463F4"/>
    <w:rsid w:val="00084295"/>
    <w:rsid w:val="001A4C9F"/>
    <w:rsid w:val="002120A0"/>
    <w:rsid w:val="00717DA7"/>
    <w:rsid w:val="00C26E3A"/>
    <w:rsid w:val="00D86F23"/>
    <w:rsid w:val="00D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ADF"/>
  <w15:chartTrackingRefBased/>
  <w15:docId w15:val="{3E400F33-2E19-44B2-B05A-2997904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84295"/>
    <w:rPr>
      <w:rFonts w:ascii="RobotoCondensed-Regular" w:hAnsi="RobotoCondensed-Regular" w:hint="default"/>
      <w:b w:val="0"/>
      <w:bCs w:val="0"/>
      <w:i w:val="0"/>
      <w:i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Allegra</dc:creator>
  <cp:keywords/>
  <dc:description/>
  <cp:lastModifiedBy>Richard Allegra</cp:lastModifiedBy>
  <cp:revision>3</cp:revision>
  <dcterms:created xsi:type="dcterms:W3CDTF">2021-05-03T21:00:00Z</dcterms:created>
  <dcterms:modified xsi:type="dcterms:W3CDTF">2021-05-03T21:17:00Z</dcterms:modified>
</cp:coreProperties>
</file>