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2195" w14:textId="70598FD8" w:rsidR="00084295" w:rsidRDefault="00084295">
      <w:pPr>
        <w:rPr>
          <w:rStyle w:val="fontstyle01"/>
        </w:rPr>
      </w:pPr>
    </w:p>
    <w:p w14:paraId="6FA1AEDB" w14:textId="18D0356F" w:rsidR="002120A0" w:rsidRPr="00DD2250" w:rsidRDefault="002120A0">
      <w:pPr>
        <w:rPr>
          <w:rFonts w:ascii="Roboto-Bold" w:hAnsi="Roboto-Bold"/>
          <w:b/>
          <w:bCs/>
          <w:color w:val="0E6E0E"/>
          <w:sz w:val="28"/>
          <w:szCs w:val="28"/>
        </w:rPr>
      </w:pPr>
      <w:r>
        <w:rPr>
          <w:rFonts w:ascii="Roboto-Bold" w:hAnsi="Roboto-Bold"/>
          <w:b/>
          <w:bCs/>
          <w:noProof/>
          <w:color w:val="0E6E0E"/>
          <w:sz w:val="28"/>
          <w:szCs w:val="28"/>
        </w:rPr>
        <w:drawing>
          <wp:anchor distT="0" distB="0" distL="114300" distR="114300" simplePos="0" relativeHeight="251658240" behindDoc="0" locked="0" layoutInCell="1" allowOverlap="1" wp14:anchorId="49BB3B03" wp14:editId="63F892B5">
            <wp:simplePos x="0" y="0"/>
            <wp:positionH relativeFrom="column">
              <wp:posOffset>0</wp:posOffset>
            </wp:positionH>
            <wp:positionV relativeFrom="paragraph">
              <wp:posOffset>379095</wp:posOffset>
            </wp:positionV>
            <wp:extent cx="1790700" cy="796251"/>
            <wp:effectExtent l="0" t="0" r="0" b="4445"/>
            <wp:wrapNone/>
            <wp:docPr id="2" name="Picture 2" descr="Logo: National Center for College Student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National Center for College Students with Disabilitie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796251"/>
                    </a:xfrm>
                    <a:prstGeom prst="rect">
                      <a:avLst/>
                    </a:prstGeom>
                  </pic:spPr>
                </pic:pic>
              </a:graphicData>
            </a:graphic>
          </wp:anchor>
        </w:drawing>
      </w:r>
      <w:r>
        <w:rPr>
          <w:rFonts w:ascii="Roboto-Bold" w:hAnsi="Roboto-Bold"/>
          <w:b/>
          <w:bCs/>
          <w:noProof/>
          <w:color w:val="0E6E0E"/>
          <w:sz w:val="28"/>
          <w:szCs w:val="28"/>
        </w:rPr>
        <w:t xml:space="preserve">                                                  </w:t>
      </w:r>
      <w:r w:rsidR="00084295">
        <w:rPr>
          <w:rFonts w:ascii="Roboto-Bold" w:hAnsi="Roboto-Bold"/>
          <w:b/>
          <w:bCs/>
          <w:noProof/>
          <w:color w:val="0E6E0E"/>
          <w:sz w:val="28"/>
          <w:szCs w:val="28"/>
        </w:rPr>
        <w:drawing>
          <wp:inline distT="0" distB="0" distL="0" distR="0" wp14:anchorId="2424687B" wp14:editId="14B193CD">
            <wp:extent cx="1362075" cy="1362075"/>
            <wp:effectExtent l="0" t="0" r="9525" b="9525"/>
            <wp:docPr id="1" name="Picture 1" descr="Logo: CEDAR Campus Disability Resource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EDAR Campus Disability Resource Database"/>
                    <pic:cNvPicPr/>
                  </pic:nvPicPr>
                  <pic:blipFill>
                    <a:blip r:embed="rId5">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14:paraId="36F0326D" w14:textId="15694A2B" w:rsidR="00084295" w:rsidRPr="00084295" w:rsidRDefault="00084295">
      <w:pPr>
        <w:rPr>
          <w:rFonts w:cstheme="minorHAnsi"/>
          <w:sz w:val="28"/>
          <w:szCs w:val="28"/>
        </w:rPr>
      </w:pPr>
      <w:r w:rsidRPr="00084295">
        <w:rPr>
          <w:rFonts w:cstheme="minorHAnsi"/>
          <w:sz w:val="28"/>
          <w:szCs w:val="28"/>
        </w:rPr>
        <w:t>Infographic</w:t>
      </w:r>
      <w:r>
        <w:rPr>
          <w:rFonts w:cstheme="minorHAnsi"/>
          <w:sz w:val="28"/>
          <w:szCs w:val="28"/>
        </w:rPr>
        <w:t xml:space="preserve">: </w:t>
      </w:r>
      <w:r w:rsidRPr="00084295">
        <w:rPr>
          <w:rFonts w:cstheme="minorHAnsi"/>
          <w:sz w:val="28"/>
          <w:szCs w:val="28"/>
        </w:rPr>
        <w:t xml:space="preserve"> </w:t>
      </w:r>
      <w:r w:rsidR="00B31716">
        <w:rPr>
          <w:rFonts w:cstheme="minorHAnsi"/>
          <w:sz w:val="28"/>
          <w:szCs w:val="28"/>
        </w:rPr>
        <w:t>Campus Accommodations most commonly provided for college students with disabilities</w:t>
      </w:r>
      <w:r w:rsidRPr="00084295">
        <w:rPr>
          <w:rFonts w:cstheme="minorHAnsi"/>
          <w:sz w:val="28"/>
          <w:szCs w:val="28"/>
        </w:rPr>
        <w:br/>
        <w:t>Learn more at CeDaRdatabase.org</w:t>
      </w:r>
    </w:p>
    <w:p w14:paraId="391FA283" w14:textId="77777777" w:rsidR="00B31716" w:rsidRDefault="00B31716">
      <w:pPr>
        <w:rPr>
          <w:rFonts w:cstheme="minorHAnsi"/>
          <w:b/>
          <w:bCs/>
          <w:sz w:val="28"/>
          <w:szCs w:val="28"/>
        </w:rPr>
      </w:pPr>
      <w:r w:rsidRPr="00B31716">
        <w:rPr>
          <w:rFonts w:cstheme="minorHAnsi"/>
          <w:b/>
          <w:bCs/>
          <w:sz w:val="28"/>
          <w:szCs w:val="28"/>
        </w:rPr>
        <w:t>Campus representatives from 740 colleges and universities responded to this question:</w:t>
      </w:r>
      <w:r w:rsidRPr="00B31716">
        <w:rPr>
          <w:rFonts w:cstheme="minorHAnsi"/>
          <w:b/>
          <w:bCs/>
          <w:sz w:val="28"/>
          <w:szCs w:val="28"/>
        </w:rPr>
        <w:t xml:space="preserve"> </w:t>
      </w:r>
    </w:p>
    <w:p w14:paraId="0366931E" w14:textId="45477474" w:rsidR="00B31716" w:rsidRPr="00B31716" w:rsidRDefault="00B31716">
      <w:pPr>
        <w:rPr>
          <w:rFonts w:cstheme="minorHAnsi"/>
          <w:sz w:val="28"/>
          <w:szCs w:val="28"/>
        </w:rPr>
      </w:pPr>
      <w:r>
        <w:rPr>
          <w:rFonts w:cstheme="minorHAnsi"/>
          <w:b/>
          <w:bCs/>
          <w:sz w:val="28"/>
          <w:szCs w:val="28"/>
        </w:rPr>
        <w:t>“</w:t>
      </w:r>
      <w:r w:rsidRPr="00B31716">
        <w:rPr>
          <w:rFonts w:cstheme="minorHAnsi"/>
          <w:sz w:val="28"/>
          <w:szCs w:val="28"/>
        </w:rPr>
        <w:t>Within the last three years, how common has it been for your institution and/or</w:t>
      </w:r>
      <w:r w:rsidRPr="00B31716">
        <w:rPr>
          <w:rFonts w:cstheme="minorHAnsi"/>
          <w:sz w:val="28"/>
          <w:szCs w:val="28"/>
        </w:rPr>
        <w:br/>
        <w:t>disability services provider to provide or approve the following accommodations?</w:t>
      </w:r>
      <w:r>
        <w:rPr>
          <w:rFonts w:cstheme="minorHAnsi"/>
          <w:sz w:val="28"/>
          <w:szCs w:val="28"/>
        </w:rPr>
        <w:t>”</w:t>
      </w:r>
    </w:p>
    <w:p w14:paraId="0EE57FEC" w14:textId="3B3C728D" w:rsidR="00B31716" w:rsidRDefault="00B31716">
      <w:pPr>
        <w:rPr>
          <w:rFonts w:cstheme="minorHAnsi"/>
          <w:sz w:val="28"/>
          <w:szCs w:val="28"/>
        </w:rPr>
      </w:pPr>
      <w:r w:rsidRPr="00B31716">
        <w:rPr>
          <w:rFonts w:cstheme="minorHAnsi"/>
          <w:sz w:val="28"/>
          <w:szCs w:val="28"/>
        </w:rPr>
        <w:t>Top 5 Most Commonly Provided Accommodations</w:t>
      </w:r>
    </w:p>
    <w:p w14:paraId="540C1515" w14:textId="530867F7" w:rsidR="00084295" w:rsidRPr="00084295" w:rsidRDefault="00B31716">
      <w:pPr>
        <w:rPr>
          <w:rFonts w:cstheme="minorHAnsi"/>
          <w:sz w:val="28"/>
          <w:szCs w:val="28"/>
        </w:rPr>
      </w:pPr>
      <w:r>
        <w:rPr>
          <w:rFonts w:cstheme="minorHAnsi"/>
          <w:sz w:val="28"/>
          <w:szCs w:val="28"/>
        </w:rPr>
        <w:t>9</w:t>
      </w:r>
      <w:r w:rsidR="00084295" w:rsidRPr="00084295">
        <w:rPr>
          <w:rFonts w:cstheme="minorHAnsi"/>
          <w:sz w:val="28"/>
          <w:szCs w:val="28"/>
        </w:rPr>
        <w:t xml:space="preserve">2% </w:t>
      </w:r>
      <w:r>
        <w:rPr>
          <w:rFonts w:cstheme="minorHAnsi"/>
          <w:sz w:val="28"/>
          <w:szCs w:val="28"/>
        </w:rPr>
        <w:t>Test accommodations</w:t>
      </w:r>
    </w:p>
    <w:p w14:paraId="3EE9F3C7" w14:textId="364DA90B" w:rsidR="00084295" w:rsidRPr="00084295" w:rsidRDefault="00B31716">
      <w:pPr>
        <w:rPr>
          <w:rFonts w:cstheme="minorHAnsi"/>
          <w:sz w:val="28"/>
          <w:szCs w:val="28"/>
        </w:rPr>
      </w:pPr>
      <w:r>
        <w:rPr>
          <w:rFonts w:cstheme="minorHAnsi"/>
          <w:sz w:val="28"/>
          <w:szCs w:val="28"/>
        </w:rPr>
        <w:t>60</w:t>
      </w:r>
      <w:r w:rsidR="00084295" w:rsidRPr="00084295">
        <w:rPr>
          <w:rFonts w:cstheme="minorHAnsi"/>
          <w:sz w:val="28"/>
          <w:szCs w:val="28"/>
        </w:rPr>
        <w:t xml:space="preserve">% 24/7 </w:t>
      </w:r>
      <w:r>
        <w:rPr>
          <w:rFonts w:cstheme="minorHAnsi"/>
          <w:sz w:val="28"/>
          <w:szCs w:val="28"/>
        </w:rPr>
        <w:t>Alternative formats (e.g. e-text, large print)</w:t>
      </w:r>
    </w:p>
    <w:p w14:paraId="56CEA03D" w14:textId="2BA0C0C7" w:rsidR="00084295" w:rsidRPr="00084295" w:rsidRDefault="00B31716">
      <w:pPr>
        <w:rPr>
          <w:rFonts w:cstheme="minorHAnsi"/>
          <w:sz w:val="28"/>
          <w:szCs w:val="28"/>
        </w:rPr>
      </w:pPr>
      <w:r>
        <w:rPr>
          <w:rFonts w:cstheme="minorHAnsi"/>
          <w:sz w:val="28"/>
          <w:szCs w:val="28"/>
        </w:rPr>
        <w:t>60</w:t>
      </w:r>
      <w:r w:rsidR="00084295" w:rsidRPr="00084295">
        <w:rPr>
          <w:rFonts w:cstheme="minorHAnsi"/>
          <w:sz w:val="28"/>
          <w:szCs w:val="28"/>
        </w:rPr>
        <w:t xml:space="preserve">% </w:t>
      </w:r>
      <w:r>
        <w:rPr>
          <w:rFonts w:cstheme="minorHAnsi"/>
          <w:sz w:val="28"/>
          <w:szCs w:val="28"/>
        </w:rPr>
        <w:t>Accommodations for online courses</w:t>
      </w:r>
    </w:p>
    <w:p w14:paraId="5E8CAB3A" w14:textId="50B549C2" w:rsidR="00084295" w:rsidRPr="00084295" w:rsidRDefault="00B31716">
      <w:pPr>
        <w:rPr>
          <w:rFonts w:cstheme="minorHAnsi"/>
          <w:sz w:val="28"/>
          <w:szCs w:val="28"/>
        </w:rPr>
      </w:pPr>
      <w:r>
        <w:rPr>
          <w:rFonts w:cstheme="minorHAnsi"/>
          <w:sz w:val="28"/>
          <w:szCs w:val="28"/>
        </w:rPr>
        <w:t>54</w:t>
      </w:r>
      <w:r w:rsidR="00084295" w:rsidRPr="00084295">
        <w:rPr>
          <w:rFonts w:cstheme="minorHAnsi"/>
          <w:sz w:val="28"/>
          <w:szCs w:val="28"/>
        </w:rPr>
        <w:t xml:space="preserve">% </w:t>
      </w:r>
      <w:r>
        <w:rPr>
          <w:rFonts w:cstheme="minorHAnsi"/>
          <w:sz w:val="28"/>
          <w:szCs w:val="28"/>
        </w:rPr>
        <w:t>Assistive technology (e.g. screen readers, voice input)</w:t>
      </w:r>
    </w:p>
    <w:p w14:paraId="6C7E2868" w14:textId="58BDF875" w:rsidR="00084295" w:rsidRPr="00084295" w:rsidRDefault="00B31716">
      <w:pPr>
        <w:rPr>
          <w:rFonts w:cstheme="minorHAnsi"/>
          <w:sz w:val="28"/>
          <w:szCs w:val="28"/>
        </w:rPr>
      </w:pPr>
      <w:r>
        <w:rPr>
          <w:rFonts w:cstheme="minorHAnsi"/>
          <w:sz w:val="28"/>
          <w:szCs w:val="28"/>
        </w:rPr>
        <w:t>48</w:t>
      </w:r>
      <w:r w:rsidR="00084295" w:rsidRPr="00084295">
        <w:rPr>
          <w:rFonts w:cstheme="minorHAnsi"/>
          <w:sz w:val="28"/>
          <w:szCs w:val="28"/>
        </w:rPr>
        <w:t xml:space="preserve">% </w:t>
      </w:r>
      <w:r>
        <w:rPr>
          <w:rFonts w:cstheme="minorHAnsi"/>
          <w:sz w:val="28"/>
          <w:szCs w:val="28"/>
        </w:rPr>
        <w:t>Accommodations in residence halls</w:t>
      </w:r>
    </w:p>
    <w:p w14:paraId="0F77EC42" w14:textId="0AF1818A" w:rsidR="00084295" w:rsidRDefault="00084295">
      <w:pPr>
        <w:rPr>
          <w:rStyle w:val="fontstyle01"/>
        </w:rPr>
      </w:pPr>
    </w:p>
    <w:p w14:paraId="6E034739" w14:textId="0648B17E" w:rsidR="00B31716" w:rsidRDefault="00B31716">
      <w:pPr>
        <w:rPr>
          <w:rStyle w:val="fontstyle01"/>
          <w:rFonts w:asciiTheme="minorHAnsi" w:hAnsiTheme="minorHAnsi" w:cstheme="minorHAnsi"/>
          <w:sz w:val="28"/>
          <w:szCs w:val="28"/>
        </w:rPr>
      </w:pPr>
      <w:r w:rsidRPr="00B31716">
        <w:rPr>
          <w:rStyle w:val="fontstyle01"/>
          <w:rFonts w:asciiTheme="minorHAnsi" w:hAnsiTheme="minorHAnsi" w:cstheme="minorHAnsi"/>
          <w:sz w:val="28"/>
          <w:szCs w:val="28"/>
        </w:rPr>
        <w:t>Additional Accommodations</w:t>
      </w:r>
      <w:r>
        <w:rPr>
          <w:rStyle w:val="fontstyle01"/>
          <w:rFonts w:asciiTheme="minorHAnsi" w:hAnsiTheme="minorHAnsi" w:cstheme="minorHAnsi"/>
          <w:sz w:val="28"/>
          <w:szCs w:val="28"/>
        </w:rPr>
        <w:t xml:space="preserve"> (graph)</w:t>
      </w:r>
    </w:p>
    <w:p w14:paraId="2DCDF55B" w14:textId="3ED27343"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Emotional support animals 39%</w:t>
      </w:r>
    </w:p>
    <w:p w14:paraId="2A9CB598" w14:textId="546744DE"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Priority registration 37%</w:t>
      </w:r>
    </w:p>
    <w:p w14:paraId="18C9DC88" w14:textId="67F30699"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Readers 32%</w:t>
      </w:r>
    </w:p>
    <w:p w14:paraId="71511CD5" w14:textId="1104B717"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Sign language interpreters 25%</w:t>
      </w:r>
    </w:p>
    <w:p w14:paraId="18D95A20" w14:textId="3CBCC8BE"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Dietary accommodations 24%</w:t>
      </w:r>
    </w:p>
    <w:p w14:paraId="316E067A" w14:textId="38F77ECA"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lastRenderedPageBreak/>
        <w:t>Medical leave 245</w:t>
      </w:r>
    </w:p>
    <w:p w14:paraId="55BF5822" w14:textId="54577DC6"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Scribes 23%</w:t>
      </w:r>
    </w:p>
    <w:p w14:paraId="3B80E8C6" w14:textId="56C1629D"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Reduced courseload 21%</w:t>
      </w:r>
    </w:p>
    <w:p w14:paraId="53F10643" w14:textId="09C7DF88"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CART or C-Print 19%</w:t>
      </w:r>
    </w:p>
    <w:p w14:paraId="53D71735" w14:textId="672289C2"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Accommodations for internships, et al 15%</w:t>
      </w:r>
    </w:p>
    <w:p w14:paraId="330BB25E" w14:textId="1FCDE4B6"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Course substitutions 9%</w:t>
      </w:r>
    </w:p>
    <w:p w14:paraId="38CBEB4E" w14:textId="09DB3665" w:rsidR="00B31716" w:rsidRDefault="00B31716">
      <w:pPr>
        <w:rPr>
          <w:rStyle w:val="fontstyle01"/>
          <w:rFonts w:asciiTheme="minorHAnsi" w:hAnsiTheme="minorHAnsi" w:cstheme="minorHAnsi"/>
          <w:sz w:val="28"/>
          <w:szCs w:val="28"/>
        </w:rPr>
      </w:pPr>
      <w:r>
        <w:rPr>
          <w:rStyle w:val="fontstyle01"/>
          <w:rFonts w:asciiTheme="minorHAnsi" w:hAnsiTheme="minorHAnsi" w:cstheme="minorHAnsi"/>
          <w:sz w:val="28"/>
          <w:szCs w:val="28"/>
        </w:rPr>
        <w:t>Accommodations for study abroad 9%</w:t>
      </w:r>
    </w:p>
    <w:p w14:paraId="39C286FA" w14:textId="77777777" w:rsidR="00B31716" w:rsidRPr="00B31716" w:rsidRDefault="00B31716">
      <w:pPr>
        <w:rPr>
          <w:rStyle w:val="fontstyle01"/>
          <w:rFonts w:asciiTheme="minorHAnsi" w:hAnsiTheme="minorHAnsi" w:cstheme="minorHAnsi"/>
          <w:sz w:val="28"/>
          <w:szCs w:val="28"/>
        </w:rPr>
      </w:pPr>
    </w:p>
    <w:p w14:paraId="33E1E42B" w14:textId="4B4C82CE" w:rsidR="00215B5F" w:rsidRPr="00084295" w:rsidRDefault="00084295">
      <w:pPr>
        <w:rPr>
          <w:rFonts w:cstheme="minorHAnsi"/>
          <w:sz w:val="24"/>
          <w:szCs w:val="24"/>
        </w:rPr>
      </w:pPr>
      <w:r w:rsidRPr="00084295">
        <w:rPr>
          <w:rStyle w:val="fontstyle01"/>
          <w:rFonts w:asciiTheme="minorHAnsi" w:hAnsiTheme="minorHAnsi" w:cstheme="minorHAnsi"/>
          <w:sz w:val="24"/>
          <w:szCs w:val="24"/>
        </w:rPr>
        <w:t>The National Center for College Students with Disabilities (NCCSD) is funded through a four-year grant from the Office of Postsecondary Education, U.S.</w:t>
      </w:r>
      <w:r w:rsidR="00DD2250">
        <w:rPr>
          <w:rStyle w:val="fontstyle01"/>
          <w:rFonts w:asciiTheme="minorHAnsi" w:hAnsiTheme="minorHAnsi" w:cstheme="minorHAnsi"/>
          <w:sz w:val="24"/>
          <w:szCs w:val="24"/>
        </w:rPr>
        <w:t xml:space="preserve"> </w:t>
      </w:r>
      <w:r w:rsidRPr="00084295">
        <w:rPr>
          <w:rStyle w:val="fontstyle01"/>
          <w:rFonts w:asciiTheme="minorHAnsi" w:hAnsiTheme="minorHAnsi" w:cstheme="minorHAnsi"/>
          <w:sz w:val="24"/>
          <w:szCs w:val="24"/>
        </w:rPr>
        <w:t>Department of Education (P116D150005), administered through the Office of Postsecondary Education. This project was developed in partnership with</w:t>
      </w:r>
      <w:r w:rsidR="00DD2250">
        <w:rPr>
          <w:rStyle w:val="fontstyle01"/>
          <w:rFonts w:asciiTheme="minorHAnsi" w:hAnsiTheme="minorHAnsi" w:cstheme="minorHAnsi"/>
          <w:sz w:val="24"/>
          <w:szCs w:val="24"/>
        </w:rPr>
        <w:t xml:space="preserve"> </w:t>
      </w:r>
      <w:r w:rsidRPr="00084295">
        <w:rPr>
          <w:rStyle w:val="fontstyle01"/>
          <w:rFonts w:asciiTheme="minorHAnsi" w:hAnsiTheme="minorHAnsi" w:cstheme="minorHAnsi"/>
          <w:sz w:val="24"/>
          <w:szCs w:val="24"/>
        </w:rPr>
        <w:t>the Institute for Community Inclusion (ICI) at the University of Massachusetts Boston. Opinions expressed on this page or associated content may not be the opinions of NCCSD, AHEAD or the U.S. Department of Education. Questions, concerns or requests about accessibility should be sent to</w:t>
      </w:r>
      <w:r w:rsidR="00DD2250">
        <w:rPr>
          <w:rStyle w:val="fontstyle01"/>
          <w:rFonts w:asciiTheme="minorHAnsi" w:hAnsiTheme="minorHAnsi" w:cstheme="minorHAnsi"/>
          <w:sz w:val="24"/>
          <w:szCs w:val="24"/>
        </w:rPr>
        <w:t xml:space="preserve"> </w:t>
      </w:r>
      <w:r w:rsidRPr="00084295">
        <w:rPr>
          <w:rStyle w:val="fontstyle01"/>
          <w:rFonts w:asciiTheme="minorHAnsi" w:hAnsiTheme="minorHAnsi" w:cstheme="minorHAnsi"/>
          <w:sz w:val="24"/>
          <w:szCs w:val="24"/>
        </w:rPr>
        <w:t>nccsd@ahead.org</w:t>
      </w:r>
    </w:p>
    <w:sectPr w:rsidR="00215B5F" w:rsidRPr="0008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Condensed-Regular">
    <w:altName w:val="Arial"/>
    <w:panose1 w:val="00000000000000000000"/>
    <w:charset w:val="00"/>
    <w:family w:val="roman"/>
    <w:notTrueType/>
    <w:pitch w:val="default"/>
  </w:font>
  <w:font w:name="Roboto-Bold">
    <w:altName w:val="Robot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295"/>
    <w:rsid w:val="000463F4"/>
    <w:rsid w:val="00084295"/>
    <w:rsid w:val="001A4C9F"/>
    <w:rsid w:val="002120A0"/>
    <w:rsid w:val="00717DA7"/>
    <w:rsid w:val="00B31716"/>
    <w:rsid w:val="00C26E3A"/>
    <w:rsid w:val="00D86F23"/>
    <w:rsid w:val="00DD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5ADF"/>
  <w15:chartTrackingRefBased/>
  <w15:docId w15:val="{3E400F33-2E19-44B2-B05A-29979047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84295"/>
    <w:rPr>
      <w:rFonts w:ascii="RobotoCondensed-Regular" w:hAnsi="RobotoCondensed-Regular" w:hint="default"/>
      <w:b w:val="0"/>
      <w:bCs w:val="0"/>
      <w:i w:val="0"/>
      <w:iCs w:val="0"/>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Allegra</dc:creator>
  <cp:keywords/>
  <dc:description/>
  <cp:lastModifiedBy>Richard Allegra</cp:lastModifiedBy>
  <cp:revision>4</cp:revision>
  <dcterms:created xsi:type="dcterms:W3CDTF">2021-05-03T21:00:00Z</dcterms:created>
  <dcterms:modified xsi:type="dcterms:W3CDTF">2021-05-05T17:31:00Z</dcterms:modified>
</cp:coreProperties>
</file>